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4C" w:rsidRDefault="00882708">
      <w:pPr>
        <w:spacing w:after="10"/>
        <w:ind w:left="510" w:hanging="1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UCHWAŁA NR VII…..2025</w:t>
      </w:r>
    </w:p>
    <w:p w:rsidR="00FA0E4C" w:rsidRDefault="00882708">
      <w:pPr>
        <w:spacing w:after="10"/>
        <w:ind w:left="510" w:hanging="1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RADY GMINY JAROCIN</w:t>
      </w:r>
    </w:p>
    <w:p w:rsidR="00FA0E4C" w:rsidRDefault="00882708">
      <w:pPr>
        <w:spacing w:after="10"/>
        <w:ind w:left="510" w:hanging="1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 dnia 13 lutego 2025 r.</w:t>
      </w:r>
    </w:p>
    <w:p w:rsidR="00FA0E4C" w:rsidRDefault="00FA0E4C">
      <w:pPr>
        <w:spacing w:after="10"/>
        <w:ind w:left="510" w:hanging="10"/>
        <w:jc w:val="center"/>
        <w:rPr>
          <w:rFonts w:ascii="Calibri" w:hAnsi="Calibri" w:cs="Calibri"/>
          <w:b/>
          <w:sz w:val="24"/>
          <w:szCs w:val="24"/>
        </w:rPr>
      </w:pPr>
    </w:p>
    <w:p w:rsidR="00FA0E4C" w:rsidRDefault="00882708">
      <w:pPr>
        <w:spacing w:after="10"/>
        <w:ind w:left="510" w:hanging="1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 sprawie </w:t>
      </w:r>
      <w:bookmarkStart w:id="1" w:name="_Hlk178162974"/>
      <w:r>
        <w:rPr>
          <w:rFonts w:ascii="Calibri" w:hAnsi="Calibri" w:cs="Calibri"/>
          <w:b/>
          <w:sz w:val="24"/>
          <w:szCs w:val="24"/>
        </w:rPr>
        <w:t>wyboru metody ustalenia opłaty za gospodarowanie odpadami komunalnymi oraz ustalenia stawki tej opłaty</w:t>
      </w:r>
    </w:p>
    <w:p w:rsidR="00FA0E4C" w:rsidRDefault="00FA0E4C">
      <w:pPr>
        <w:spacing w:after="10"/>
        <w:ind w:left="510" w:hanging="10"/>
        <w:jc w:val="center"/>
        <w:rPr>
          <w:rFonts w:ascii="Calibri" w:hAnsi="Calibri" w:cs="Calibri"/>
          <w:b/>
          <w:sz w:val="24"/>
          <w:szCs w:val="24"/>
        </w:rPr>
      </w:pPr>
    </w:p>
    <w:bookmarkEnd w:id="1"/>
    <w:p w:rsidR="00FA0E4C" w:rsidRDefault="00882708">
      <w:pPr>
        <w:ind w:right="5"/>
      </w:pPr>
      <w:r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 xml:space="preserve">podstawie art. 18 ust. 2 pkt 15, art. 40 ust. 1 , art. 41 ust 1 ustawy z dnia 8 marca 1990 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o samorządzie gminnym ( Dz. U. z 2024 r. poz. 1465 z późn. zm.).art. 6j ust.1 pkt 1 art. 6k ust 1 pkt 1, ust. 2, ust 2a pkt 1 oraz ust. 3 ustawy z dnia 13 września</w:t>
      </w:r>
      <w:r>
        <w:rPr>
          <w:rFonts w:ascii="Calibri" w:hAnsi="Calibri" w:cs="Calibri"/>
        </w:rPr>
        <w:t xml:space="preserve"> 1996 r. o utrzymaniu czystości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i porządku w gminach (Dz</w:t>
      </w:r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U. z 2024 r. poz. 399 z póżn. zm.)  Rada Gminy Jarocin uchwala, co następuje:</w:t>
      </w:r>
    </w:p>
    <w:p w:rsidR="00FA0E4C" w:rsidRDefault="00882708">
      <w:pPr>
        <w:ind w:left="505" w:right="5"/>
      </w:pPr>
      <w:r>
        <w:rPr>
          <w:rFonts w:ascii="Calibri" w:hAnsi="Calibri" w:cs="Calibri"/>
          <w:b/>
        </w:rPr>
        <w:t xml:space="preserve">§ 1. </w:t>
      </w:r>
      <w:r>
        <w:rPr>
          <w:rFonts w:ascii="Calibri" w:hAnsi="Calibri" w:cs="Calibri"/>
        </w:rPr>
        <w:t>Dokonuje się wyboru metody ustalenia opłaty za gospodarowanie odpadami komunalnymi od właścicieli nieruchomości, n</w:t>
      </w:r>
      <w:r>
        <w:rPr>
          <w:rFonts w:ascii="Calibri" w:hAnsi="Calibri" w:cs="Calibri"/>
        </w:rPr>
        <w:t>a których zamieszkują mieszkańcy, zgodnie z którą opłata za gospodarowanie odpadami komunalnymi stanowi iloczyn liczby mieszkańców zamieszkujących daną nieruchomość oraz stawki opłaty za gospodarowanie odpadami komunalnymi określonej w § 2.</w:t>
      </w:r>
    </w:p>
    <w:p w:rsidR="00FA0E4C" w:rsidRDefault="00882708">
      <w:pPr>
        <w:ind w:left="505" w:right="5" w:firstLine="203"/>
      </w:pPr>
      <w:r>
        <w:rPr>
          <w:rFonts w:ascii="Calibri" w:hAnsi="Calibri" w:cs="Calibri"/>
          <w:b/>
        </w:rPr>
        <w:t xml:space="preserve">§ 2. </w:t>
      </w:r>
      <w:r>
        <w:rPr>
          <w:rFonts w:ascii="Calibri" w:hAnsi="Calibri" w:cs="Calibri"/>
        </w:rPr>
        <w:t xml:space="preserve">1. Ustala </w:t>
      </w:r>
      <w:r>
        <w:rPr>
          <w:rFonts w:ascii="Calibri" w:hAnsi="Calibri" w:cs="Calibri"/>
        </w:rPr>
        <w:t xml:space="preserve">się stawkę  opłaty za gospodarowanie odpadami komunalnymi odbieranymi od właścicieli nieruchomości, na których zamieszkują mieszkańcy w wysokości </w:t>
      </w:r>
      <w:r>
        <w:rPr>
          <w:rFonts w:ascii="Calibri" w:hAnsi="Calibri" w:cs="Calibri"/>
          <w:b/>
        </w:rPr>
        <w:t>21,00 zł</w:t>
      </w:r>
      <w:r>
        <w:rPr>
          <w:rFonts w:ascii="Calibri" w:hAnsi="Calibri" w:cs="Calibri"/>
        </w:rPr>
        <w:t xml:space="preserve"> miesięcznie od osoby.</w:t>
      </w:r>
    </w:p>
    <w:p w:rsidR="00FA0E4C" w:rsidRDefault="00882708">
      <w:pPr>
        <w:ind w:left="505" w:right="5" w:firstLine="203"/>
      </w:pPr>
      <w:r>
        <w:rPr>
          <w:rFonts w:ascii="Calibri" w:hAnsi="Calibri" w:cs="Calibri"/>
        </w:rPr>
        <w:t>2. Określa się stawkę opłaty podwyższonej za gospodarowanie odpadami komunalnym</w:t>
      </w:r>
      <w:r>
        <w:rPr>
          <w:rFonts w:ascii="Calibri" w:hAnsi="Calibri" w:cs="Calibri"/>
        </w:rPr>
        <w:t xml:space="preserve">i odbieranymi od właścicieli nieruchomości, na których zamieszkują mieszkańcy, w przypadku niewypełniania przez tych właścicieli obowiązku zbierania odpadów  komunalnych w sposób selektywny w wysokości </w:t>
      </w:r>
      <w:r>
        <w:rPr>
          <w:rFonts w:ascii="Calibri" w:hAnsi="Calibri" w:cs="Calibri"/>
          <w:b/>
        </w:rPr>
        <w:t xml:space="preserve">42,00 zł </w:t>
      </w:r>
      <w:r>
        <w:rPr>
          <w:rFonts w:ascii="Calibri" w:hAnsi="Calibri" w:cs="Calibri"/>
        </w:rPr>
        <w:t>miesięcznie od osoby.</w:t>
      </w:r>
    </w:p>
    <w:p w:rsidR="00FA0E4C" w:rsidRDefault="00882708">
      <w:pPr>
        <w:ind w:right="5"/>
      </w:pPr>
      <w:r>
        <w:rPr>
          <w:rFonts w:ascii="Calibri" w:hAnsi="Calibri" w:cs="Calibri"/>
          <w:b/>
        </w:rPr>
        <w:t xml:space="preserve">§ 3. </w:t>
      </w:r>
      <w:r>
        <w:rPr>
          <w:rFonts w:ascii="Calibri" w:hAnsi="Calibri" w:cs="Calibri"/>
        </w:rPr>
        <w:t>Zwalnia się w częś</w:t>
      </w:r>
      <w:r>
        <w:rPr>
          <w:rFonts w:ascii="Calibri" w:hAnsi="Calibri" w:cs="Calibri"/>
        </w:rPr>
        <w:t xml:space="preserve">ci z opłaty za gospodarowanie odpadami komunalnymi właścicieli nieruchomości zabudowanych budynkami mieszkalnymi jednorodzinnymi kompostujących bioodpady stanowiące odpady komunalne w przydomowym  kompostowniku w wysokości </w:t>
      </w:r>
      <w:r>
        <w:rPr>
          <w:rFonts w:ascii="Calibri" w:hAnsi="Calibri" w:cs="Calibri"/>
          <w:b/>
        </w:rPr>
        <w:t>3 zł</w:t>
      </w:r>
      <w:r>
        <w:rPr>
          <w:rFonts w:ascii="Calibri" w:hAnsi="Calibri" w:cs="Calibri"/>
        </w:rPr>
        <w:t xml:space="preserve"> miesięcznie od osoby zamiesz</w:t>
      </w:r>
      <w:r>
        <w:rPr>
          <w:rFonts w:ascii="Calibri" w:hAnsi="Calibri" w:cs="Calibri"/>
        </w:rPr>
        <w:t>kującej daną nieruchomość.</w:t>
      </w:r>
    </w:p>
    <w:p w:rsidR="00FA0E4C" w:rsidRDefault="00882708">
      <w:pPr>
        <w:ind w:left="505" w:right="5"/>
      </w:pPr>
      <w:r>
        <w:rPr>
          <w:rFonts w:ascii="Calibri" w:hAnsi="Calibri" w:cs="Calibri"/>
          <w:b/>
        </w:rPr>
        <w:t xml:space="preserve">§ 4. </w:t>
      </w:r>
      <w:r>
        <w:rPr>
          <w:rFonts w:ascii="Calibri" w:hAnsi="Calibri" w:cs="Calibri"/>
        </w:rPr>
        <w:t>Tracą moc:</w:t>
      </w:r>
    </w:p>
    <w:p w:rsidR="00FA0E4C" w:rsidRDefault="00882708">
      <w:pPr>
        <w:pStyle w:val="Akapitzlist"/>
        <w:numPr>
          <w:ilvl w:val="0"/>
          <w:numId w:val="2"/>
        </w:numPr>
        <w:ind w:right="5"/>
        <w:rPr>
          <w:rFonts w:ascii="Calibri" w:hAnsi="Calibri" w:cs="Calibri"/>
        </w:rPr>
      </w:pPr>
      <w:r>
        <w:rPr>
          <w:rFonts w:ascii="Calibri" w:hAnsi="Calibri" w:cs="Calibri"/>
        </w:rPr>
        <w:t>Uchwała Nr XIV.110.2020 Rady Gminy Jarocin z dnia 9 marca 2020 r.  w sprawie wyboru metody ustalenia opłaty za gospodarowanie odpadami komunalnymi oraz ustalenia stawki takiej opłaty.</w:t>
      </w:r>
    </w:p>
    <w:p w:rsidR="00FA0E4C" w:rsidRDefault="00882708">
      <w:pPr>
        <w:pStyle w:val="Akapitzlist"/>
        <w:numPr>
          <w:ilvl w:val="0"/>
          <w:numId w:val="1"/>
        </w:numPr>
        <w:ind w:right="5"/>
        <w:rPr>
          <w:rFonts w:ascii="Calibri" w:hAnsi="Calibri" w:cs="Calibri"/>
        </w:rPr>
      </w:pPr>
      <w:r>
        <w:rPr>
          <w:rFonts w:ascii="Calibri" w:hAnsi="Calibri" w:cs="Calibri"/>
        </w:rPr>
        <w:t xml:space="preserve">Uchwała Nr XXXVI.252.2022 </w:t>
      </w:r>
      <w:r>
        <w:rPr>
          <w:rFonts w:ascii="Calibri" w:hAnsi="Calibri" w:cs="Calibri"/>
        </w:rPr>
        <w:t>Rady Gminy Jarocin z dnia 29 grudnia 2022 r.  zmieniająca uchwałę w sprawie wyboru metody ustalenia opłaty za gospodarowanie odpadami komunalnymi oraz ustalenia stawki takiej opłaty.</w:t>
      </w:r>
    </w:p>
    <w:p w:rsidR="00FA0E4C" w:rsidRDefault="00882708">
      <w:pPr>
        <w:ind w:left="127" w:right="5" w:firstLine="708"/>
      </w:pPr>
      <w:r>
        <w:rPr>
          <w:rFonts w:ascii="Calibri" w:hAnsi="Calibri" w:cs="Calibri"/>
          <w:b/>
        </w:rPr>
        <w:t>§ 5</w:t>
      </w:r>
      <w:r>
        <w:rPr>
          <w:rFonts w:ascii="Calibri" w:hAnsi="Calibri" w:cs="Calibri"/>
        </w:rPr>
        <w:t>. Wykonanie uchwały powierza się Wójtowi Gminy Jarocin.</w:t>
      </w:r>
    </w:p>
    <w:p w:rsidR="00FA0E4C" w:rsidRDefault="00882708">
      <w:pPr>
        <w:spacing w:after="483"/>
        <w:ind w:left="505" w:right="5"/>
      </w:pPr>
      <w:r>
        <w:rPr>
          <w:rFonts w:ascii="Calibri" w:hAnsi="Calibri" w:cs="Calibri"/>
          <w:b/>
        </w:rPr>
        <w:t xml:space="preserve">§ 6. </w:t>
      </w:r>
      <w:r>
        <w:rPr>
          <w:rFonts w:ascii="Calibri" w:hAnsi="Calibri" w:cs="Calibri"/>
        </w:rPr>
        <w:t>Uchwała p</w:t>
      </w:r>
      <w:r>
        <w:rPr>
          <w:rFonts w:ascii="Calibri" w:hAnsi="Calibri" w:cs="Calibri"/>
        </w:rPr>
        <w:t>odlega ogłoszeniu w Dzienniku Urzędowym Województwa Podkarpackiego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i wchodzi w życie z dniem 1 kwietnia 2025 r.</w:t>
      </w:r>
    </w:p>
    <w:p w:rsidR="00FA0E4C" w:rsidRDefault="00FA0E4C">
      <w:pPr>
        <w:spacing w:after="483"/>
        <w:ind w:left="505" w:right="5"/>
      </w:pPr>
    </w:p>
    <w:p w:rsidR="00FA0E4C" w:rsidRDefault="00FA0E4C">
      <w:pPr>
        <w:spacing w:before="100" w:after="100"/>
        <w:ind w:left="2832" w:firstLine="708"/>
        <w:jc w:val="left"/>
        <w:rPr>
          <w:rFonts w:ascii="Calibri" w:hAnsi="Calibri" w:cs="Calibri"/>
          <w:b/>
          <w:bCs/>
          <w:color w:val="auto"/>
          <w:sz w:val="24"/>
          <w:szCs w:val="24"/>
        </w:rPr>
      </w:pPr>
    </w:p>
    <w:p w:rsidR="00FA0E4C" w:rsidRDefault="00FA0E4C">
      <w:pPr>
        <w:spacing w:before="100" w:after="100"/>
        <w:ind w:left="2832" w:firstLine="708"/>
        <w:jc w:val="left"/>
        <w:rPr>
          <w:rFonts w:ascii="Calibri" w:hAnsi="Calibri" w:cs="Calibri"/>
          <w:b/>
          <w:bCs/>
          <w:color w:val="auto"/>
          <w:sz w:val="24"/>
          <w:szCs w:val="24"/>
        </w:rPr>
      </w:pPr>
    </w:p>
    <w:p w:rsidR="00FA0E4C" w:rsidRDefault="00FA0E4C">
      <w:pPr>
        <w:spacing w:before="100" w:after="100"/>
        <w:ind w:left="2832" w:firstLine="708"/>
        <w:jc w:val="left"/>
        <w:rPr>
          <w:rFonts w:ascii="Calibri" w:hAnsi="Calibri" w:cs="Calibri"/>
          <w:b/>
          <w:bCs/>
          <w:color w:val="auto"/>
          <w:sz w:val="24"/>
          <w:szCs w:val="24"/>
        </w:rPr>
      </w:pPr>
    </w:p>
    <w:p w:rsidR="00FA0E4C" w:rsidRDefault="00882708">
      <w:pPr>
        <w:spacing w:before="100" w:after="100"/>
        <w:ind w:left="2832" w:firstLine="708"/>
        <w:jc w:val="left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 xml:space="preserve">    UZASADNIENIE</w:t>
      </w:r>
    </w:p>
    <w:p w:rsidR="00FA0E4C" w:rsidRDefault="00882708">
      <w:pPr>
        <w:spacing w:before="100" w:after="100"/>
        <w:ind w:left="0" w:firstLine="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Projekt uchwały w sprawie wyboru metody ustalenia opłaty za gospodarowanie odpadami komunalnymi oraz ustalenia stawki tej </w:t>
      </w:r>
      <w:r>
        <w:rPr>
          <w:rFonts w:ascii="Calibri" w:hAnsi="Calibri" w:cs="Calibri"/>
          <w:color w:val="auto"/>
          <w:sz w:val="24"/>
          <w:szCs w:val="24"/>
        </w:rPr>
        <w:t>opłaty zakłada zmianę stawek opłat. Obecnie obowiązująca stawka opłaty za gospodarowanie odpadami komunalnymi wynosiła miesięcznie 18 zł od osoby. Proponuje się zwiększenie do kwoty 21 zł. Zwolnienie z części opłaty za gospodarowanie odpadami komunalnymi w</w:t>
      </w:r>
      <w:r>
        <w:rPr>
          <w:rFonts w:ascii="Calibri" w:hAnsi="Calibri" w:cs="Calibri"/>
          <w:color w:val="auto"/>
          <w:sz w:val="24"/>
          <w:szCs w:val="24"/>
        </w:rPr>
        <w:t xml:space="preserve">łaścicieli nieruchomości  kompostujących bioodpady stanowiące odpady komunalne w przydomowym kompostowniku wynosiło 3 zł od osoby zamieszkałej na danej nieruchomości. </w:t>
      </w:r>
    </w:p>
    <w:p w:rsidR="00FA0E4C" w:rsidRDefault="00882708">
      <w:pPr>
        <w:spacing w:before="100" w:after="100"/>
        <w:ind w:left="0" w:firstLine="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Określając stawki opłat dla nieruchomości zamieszkałych uwzględniono wskazane w ustawie </w:t>
      </w:r>
      <w:r>
        <w:rPr>
          <w:rFonts w:ascii="Calibri" w:hAnsi="Calibri" w:cs="Calibri"/>
          <w:color w:val="auto"/>
          <w:sz w:val="24"/>
          <w:szCs w:val="24"/>
        </w:rPr>
        <w:t>o utrzymaniu czystości i porządku w gminach czynniki, to jest:</w:t>
      </w:r>
    </w:p>
    <w:p w:rsidR="00FA0E4C" w:rsidRDefault="00882708">
      <w:pPr>
        <w:spacing w:before="100" w:after="100"/>
        <w:ind w:left="0" w:firstLine="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1) liczbę mieszkańców Gminy Jarocin wg złożonych deklaracji – 3 690,</w:t>
      </w:r>
    </w:p>
    <w:p w:rsidR="00FA0E4C" w:rsidRDefault="00882708">
      <w:pPr>
        <w:ind w:left="0" w:firstLine="0"/>
      </w:pPr>
      <w:r>
        <w:rPr>
          <w:rFonts w:ascii="Calibri" w:hAnsi="Calibri" w:cs="Calibri"/>
          <w:color w:val="auto"/>
          <w:sz w:val="24"/>
          <w:szCs w:val="24"/>
        </w:rPr>
        <w:t>2) ilość wytworzonych na terenie gminy odpadów komunalnych – prognozowane na poziomie 2024 r.</w:t>
      </w:r>
    </w:p>
    <w:tbl>
      <w:tblPr>
        <w:tblW w:w="539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3944"/>
        <w:gridCol w:w="2290"/>
        <w:gridCol w:w="2127"/>
      </w:tblGrid>
      <w:tr w:rsidR="00FA0E4C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171" w:hanging="14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Kod odpadu</w:t>
            </w:r>
          </w:p>
          <w:p w:rsidR="00FA0E4C" w:rsidRDefault="00FA0E4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odpadu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112" w:firstLine="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Masa </w:t>
            </w:r>
            <w:r>
              <w:rPr>
                <w:rFonts w:ascii="Calibri" w:hAnsi="Calibri" w:cs="Calibri"/>
                <w:b/>
              </w:rPr>
              <w:t>odebranych odpadów komunalnych  [Mg] w 2023 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5" w:firstLine="2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Masa odebranych odpadów komunalnych [Mg] w 2024 r.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20 03 01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Niesegregowane (zmieszane) odpady komunalne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270,84</w:t>
            </w:r>
          </w:p>
          <w:p w:rsidR="00FA0E4C" w:rsidRDefault="00FA0E4C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311,02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16 01 03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Zużyte opony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13,92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17 09 04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Zmieszane odpady z budowy, remontów </w:t>
            </w:r>
            <w:r>
              <w:rPr>
                <w:rFonts w:ascii="Calibri" w:hAnsi="Calibri" w:cs="Calibri"/>
              </w:rPr>
              <w:t xml:space="preserve">            i demontażu inne niż wymienione                          w 17 09 01, 17 09 02 i 17 09 03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2,28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20 01 01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Papier i tektura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14,20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20 01 02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Szkło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96,58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01 35*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Zużyte urządzenia elektryczne                               i </w:t>
            </w:r>
            <w:r>
              <w:rPr>
                <w:rFonts w:ascii="Calibri" w:hAnsi="Calibri" w:cs="Calibri"/>
              </w:rPr>
              <w:t xml:space="preserve">elektroniczne inne niż wymienione 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w 20 01 21 i 20 01 23 zawierające niebezpieczne składniki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8,08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20 01 36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Zużyte urządzenia elektryczne                              i elektroniczne inne niż wymienione                   w 20 01 21, 20 01 23 i 20 01 </w:t>
            </w: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3,04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20 01 99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niewymienione frakcje zbierane                 w sposób selektywny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100,04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20 03 07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Odpady wielkogabarytowe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57,48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20 01 28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Farby, tusze, farby drukarskie, kleje, lepiszcze i żywice inne niż wymienione              w</w:t>
            </w:r>
            <w:r>
              <w:rPr>
                <w:rFonts w:ascii="Calibri" w:hAnsi="Calibri" w:cs="Calibri"/>
              </w:rPr>
              <w:t xml:space="preserve"> 20 01 27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0,22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SUMA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542,26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606,86</w:t>
            </w:r>
          </w:p>
        </w:tc>
      </w:tr>
    </w:tbl>
    <w:p w:rsidR="00FA0E4C" w:rsidRDefault="00882708">
      <w:pPr>
        <w:spacing w:before="100" w:after="100"/>
        <w:ind w:left="288" w:firstLine="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br/>
      </w:r>
      <w:r>
        <w:rPr>
          <w:rFonts w:ascii="Calibri" w:hAnsi="Calibri" w:cs="Calibri"/>
          <w:color w:val="auto"/>
          <w:sz w:val="24"/>
          <w:szCs w:val="24"/>
        </w:rPr>
        <w:br/>
      </w:r>
      <w:r>
        <w:rPr>
          <w:rFonts w:ascii="Calibri" w:hAnsi="Calibri" w:cs="Calibri"/>
          <w:color w:val="auto"/>
          <w:sz w:val="24"/>
          <w:szCs w:val="24"/>
        </w:rPr>
        <w:br/>
      </w:r>
      <w:r>
        <w:rPr>
          <w:rFonts w:ascii="Calibri" w:hAnsi="Calibri" w:cs="Calibri"/>
          <w:color w:val="auto"/>
          <w:sz w:val="24"/>
          <w:szCs w:val="24"/>
        </w:rPr>
        <w:t xml:space="preserve">3) koszty funkcjonowania systemu gospodarowania odpadami komunalnymi. </w:t>
      </w:r>
    </w:p>
    <w:p w:rsidR="00FA0E4C" w:rsidRDefault="00882708">
      <w:pPr>
        <w:spacing w:before="100" w:after="100"/>
        <w:ind w:left="0" w:firstLine="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Opłaty skalkulowano wg poniższego zestawienia:</w:t>
      </w:r>
    </w:p>
    <w:tbl>
      <w:tblPr>
        <w:tblW w:w="924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405"/>
        <w:gridCol w:w="2992"/>
      </w:tblGrid>
      <w:tr w:rsidR="00FA0E4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spacing w:before="100" w:after="100"/>
              <w:ind w:left="0" w:firstLine="0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spacing w:before="100" w:after="100"/>
              <w:ind w:left="0" w:firstLine="0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Planowane dochody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spacing w:before="100" w:after="100"/>
              <w:ind w:left="0" w:firstLine="0"/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Kwota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spacing w:before="100" w:after="100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spacing w:before="100" w:after="100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Wpływy z opłat za gospodarowanie odpadami</w:t>
            </w:r>
          </w:p>
          <w:p w:rsidR="00FA0E4C" w:rsidRDefault="00882708">
            <w:pPr>
              <w:spacing w:before="100" w:after="100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Liczba mieszkańców 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>objętych systemem gospodarowania odpadami komunalnymi – 3 690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spacing w:before="100" w:after="100"/>
              <w:ind w:left="0" w:firstLine="0"/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763 830,00</w:t>
            </w:r>
          </w:p>
          <w:p w:rsidR="00FA0E4C" w:rsidRDefault="00882708">
            <w:pPr>
              <w:spacing w:before="100" w:after="100"/>
              <w:ind w:left="0" w:firstLine="0"/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(166 050 I kw. + 597 780 II-IV kw.)</w:t>
            </w:r>
          </w:p>
        </w:tc>
      </w:tr>
    </w:tbl>
    <w:p w:rsidR="00FA0E4C" w:rsidRDefault="00FA0E4C">
      <w:pPr>
        <w:spacing w:before="100" w:after="0"/>
        <w:ind w:left="0" w:firstLine="0"/>
        <w:rPr>
          <w:rFonts w:ascii="Calibri" w:hAnsi="Calibri" w:cs="Calibri"/>
          <w:b/>
          <w:color w:val="auto"/>
          <w:sz w:val="24"/>
          <w:szCs w:val="24"/>
        </w:rPr>
      </w:pPr>
    </w:p>
    <w:tbl>
      <w:tblPr>
        <w:tblW w:w="922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5420"/>
        <w:gridCol w:w="2992"/>
      </w:tblGrid>
      <w:tr w:rsidR="00FA0E4C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spacing w:before="100" w:after="100"/>
              <w:ind w:left="0" w:firstLine="0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spacing w:before="100" w:after="100"/>
              <w:ind w:left="0" w:firstLine="0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Rodzaj wydatków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spacing w:before="100" w:after="100"/>
              <w:ind w:left="0" w:firstLine="0"/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Kwota </w:t>
            </w:r>
          </w:p>
        </w:tc>
      </w:tr>
      <w:tr w:rsidR="00FA0E4C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spacing w:before="100" w:after="100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spacing w:before="100" w:after="0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Zagospodarowanie i odbiór odpadów komunalnych</w:t>
            </w:r>
          </w:p>
          <w:p w:rsidR="00FA0E4C" w:rsidRDefault="00FA0E4C">
            <w:pPr>
              <w:spacing w:after="0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C" w:rsidRDefault="00882708">
            <w:pPr>
              <w:spacing w:after="100"/>
              <w:ind w:left="0" w:firstLine="0"/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759 696,95</w:t>
            </w:r>
          </w:p>
        </w:tc>
      </w:tr>
    </w:tbl>
    <w:p w:rsidR="00FA0E4C" w:rsidRDefault="00FA0E4C">
      <w:pPr>
        <w:spacing w:after="483"/>
        <w:ind w:left="5664" w:right="5" w:firstLine="708"/>
        <w:jc w:val="right"/>
        <w:rPr>
          <w:rFonts w:ascii="Calibri" w:hAnsi="Calibri" w:cs="Calibri"/>
        </w:rPr>
      </w:pPr>
    </w:p>
    <w:p w:rsidR="00FA0E4C" w:rsidRDefault="00FA0E4C">
      <w:pPr>
        <w:spacing w:after="483"/>
        <w:ind w:left="5664" w:right="5" w:firstLine="708"/>
        <w:jc w:val="right"/>
        <w:rPr>
          <w:rFonts w:ascii="Calibri" w:hAnsi="Calibri" w:cs="Calibri"/>
        </w:rPr>
      </w:pPr>
    </w:p>
    <w:p w:rsidR="00FA0E4C" w:rsidRDefault="00882708">
      <w:pPr>
        <w:spacing w:after="483"/>
        <w:ind w:left="5664" w:right="5"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\</w:t>
      </w:r>
    </w:p>
    <w:p w:rsidR="00FA0E4C" w:rsidRDefault="00FA0E4C">
      <w:pPr>
        <w:rPr>
          <w:rFonts w:ascii="Calibri" w:hAnsi="Calibri" w:cs="Calibri"/>
        </w:rPr>
      </w:pPr>
    </w:p>
    <w:sectPr w:rsidR="00FA0E4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08" w:rsidRDefault="00882708">
      <w:pPr>
        <w:spacing w:after="0"/>
      </w:pPr>
      <w:r>
        <w:separator/>
      </w:r>
    </w:p>
  </w:endnote>
  <w:endnote w:type="continuationSeparator" w:id="0">
    <w:p w:rsidR="00882708" w:rsidRDefault="00882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08" w:rsidRDefault="00882708">
      <w:pPr>
        <w:spacing w:after="0"/>
      </w:pPr>
      <w:r>
        <w:separator/>
      </w:r>
    </w:p>
  </w:footnote>
  <w:footnote w:type="continuationSeparator" w:id="0">
    <w:p w:rsidR="00882708" w:rsidRDefault="00882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284F"/>
    <w:multiLevelType w:val="multilevel"/>
    <w:tmpl w:val="1898F7CE"/>
    <w:lvl w:ilvl="0">
      <w:start w:val="1"/>
      <w:numFmt w:val="decimal"/>
      <w:lvlText w:val="%1)"/>
      <w:lvlJc w:val="left"/>
      <w:pPr>
        <w:ind w:left="119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15" w:hanging="360"/>
      </w:pPr>
    </w:lvl>
    <w:lvl w:ilvl="2">
      <w:start w:val="1"/>
      <w:numFmt w:val="lowerRoman"/>
      <w:lvlText w:val="%3."/>
      <w:lvlJc w:val="right"/>
      <w:pPr>
        <w:ind w:left="2635" w:hanging="180"/>
      </w:pPr>
    </w:lvl>
    <w:lvl w:ilvl="3">
      <w:start w:val="1"/>
      <w:numFmt w:val="decimal"/>
      <w:lvlText w:val="%4."/>
      <w:lvlJc w:val="left"/>
      <w:pPr>
        <w:ind w:left="3355" w:hanging="360"/>
      </w:pPr>
    </w:lvl>
    <w:lvl w:ilvl="4">
      <w:start w:val="1"/>
      <w:numFmt w:val="lowerLetter"/>
      <w:lvlText w:val="%5."/>
      <w:lvlJc w:val="left"/>
      <w:pPr>
        <w:ind w:left="4075" w:hanging="360"/>
      </w:pPr>
    </w:lvl>
    <w:lvl w:ilvl="5">
      <w:start w:val="1"/>
      <w:numFmt w:val="lowerRoman"/>
      <w:lvlText w:val="%6."/>
      <w:lvlJc w:val="right"/>
      <w:pPr>
        <w:ind w:left="4795" w:hanging="180"/>
      </w:pPr>
    </w:lvl>
    <w:lvl w:ilvl="6">
      <w:start w:val="1"/>
      <w:numFmt w:val="decimal"/>
      <w:lvlText w:val="%7."/>
      <w:lvlJc w:val="left"/>
      <w:pPr>
        <w:ind w:left="5515" w:hanging="360"/>
      </w:pPr>
    </w:lvl>
    <w:lvl w:ilvl="7">
      <w:start w:val="1"/>
      <w:numFmt w:val="lowerLetter"/>
      <w:lvlText w:val="%8."/>
      <w:lvlJc w:val="left"/>
      <w:pPr>
        <w:ind w:left="6235" w:hanging="360"/>
      </w:pPr>
    </w:lvl>
    <w:lvl w:ilvl="8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A0E4C"/>
    <w:rsid w:val="00882708"/>
    <w:rsid w:val="00FA0E4C"/>
    <w:rsid w:val="00F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5CA25-002F-4122-9CA0-0702930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4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09" w:line="240" w:lineRule="auto"/>
      <w:ind w:left="500" w:firstLine="330"/>
      <w:jc w:val="both"/>
    </w:pPr>
    <w:rPr>
      <w:rFonts w:ascii="Times New Roman" w:eastAsia="Times New Roman" w:hAnsi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I.B.</cp:lastModifiedBy>
  <cp:revision>2</cp:revision>
  <cp:lastPrinted>2025-02-04T12:56:00Z</cp:lastPrinted>
  <dcterms:created xsi:type="dcterms:W3CDTF">2025-02-05T14:13:00Z</dcterms:created>
  <dcterms:modified xsi:type="dcterms:W3CDTF">2025-02-05T14:13:00Z</dcterms:modified>
</cp:coreProperties>
</file>