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87" w:rsidRDefault="00EC3C61">
      <w:pPr>
        <w:spacing w:after="60" w:line="240" w:lineRule="auto"/>
        <w:jc w:val="right"/>
        <w:outlineLvl w:val="1"/>
        <w:rPr>
          <w:rFonts w:eastAsia="Times New Roman" w:cs="Calibri"/>
          <w:b/>
          <w:bCs/>
          <w:kern w:val="0"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 w:cs="Calibri"/>
          <w:b/>
          <w:bCs/>
          <w:kern w:val="0"/>
          <w:sz w:val="20"/>
          <w:szCs w:val="20"/>
          <w:lang w:eastAsia="pl-PL"/>
        </w:rPr>
        <w:t xml:space="preserve">P R O J E K T </w:t>
      </w:r>
    </w:p>
    <w:p w:rsidR="003B6A87" w:rsidRDefault="00EC3C61">
      <w:pPr>
        <w:spacing w:after="60" w:line="240" w:lineRule="auto"/>
        <w:jc w:val="center"/>
        <w:outlineLvl w:val="1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 xml:space="preserve">UCHWAŁA Nr </w:t>
      </w:r>
    </w:p>
    <w:p w:rsidR="003B6A87" w:rsidRDefault="00EC3C61">
      <w:pPr>
        <w:spacing w:after="60" w:line="240" w:lineRule="auto"/>
        <w:jc w:val="center"/>
        <w:outlineLvl w:val="1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 xml:space="preserve">RADY GMINY JAROCIN </w:t>
      </w:r>
    </w:p>
    <w:p w:rsidR="003B6A87" w:rsidRDefault="00EC3C61">
      <w:pPr>
        <w:spacing w:after="60" w:line="240" w:lineRule="auto"/>
        <w:jc w:val="center"/>
        <w:outlineLvl w:val="1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 xml:space="preserve">z dnia 27 listopada 2025 r. </w:t>
      </w:r>
    </w:p>
    <w:p w:rsidR="003B6A87" w:rsidRDefault="00EC3C61">
      <w:pPr>
        <w:spacing w:after="60" w:line="240" w:lineRule="auto"/>
        <w:jc w:val="center"/>
        <w:outlineLvl w:val="1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w sprawie określenia wysokości stawek podatku od nieruchomości na 2026 rok</w:t>
      </w:r>
    </w:p>
    <w:p w:rsidR="003B6A87" w:rsidRDefault="003B6A87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:rsidR="003B6A87" w:rsidRDefault="00EC3C61">
      <w:pPr>
        <w:spacing w:after="240"/>
      </w:pPr>
      <w:r>
        <w:rPr>
          <w:rFonts w:eastAsia="Times New Roman" w:cs="Calibri"/>
          <w:kern w:val="0"/>
          <w:lang w:eastAsia="pl-PL"/>
        </w:rPr>
        <w:t>Na podstawie art.18 ust.2 pkt.8,</w:t>
      </w:r>
      <w:r>
        <w:rPr>
          <w:rFonts w:eastAsia="Times New Roman" w:cs="Calibri"/>
          <w:kern w:val="0"/>
          <w:lang w:eastAsia="pl-PL"/>
        </w:rPr>
        <w:t xml:space="preserve"> art. 40 ust.1, art. 41 ust. 1 oraz art. 42 ustawy z dnia 8 marca 1990r. o samorządzie gminnym (Dz. U. z 2025, poz. 1153 z późn. zm.), art. 5 ust. 1, art. 7 ust.3 ustawy z dnia 12 stycznia 1991r. o podatkach i opłatach lokalnych (Dz.U z 2025 r. poz. 707 z </w:t>
      </w:r>
      <w:r>
        <w:rPr>
          <w:rFonts w:eastAsia="Times New Roman" w:cs="Calibri"/>
          <w:kern w:val="0"/>
          <w:lang w:eastAsia="pl-PL"/>
        </w:rPr>
        <w:t>późn. zm.) w związku z Obwieszczeniem Ministra Finansów i Gospodarki z dnia 1 sierpnia 2025 r. w sprawie górnych granic stawek kwotowych podatków i opłat lokalnych na rok 2026 (M.P. z 2025 r. poz. 726)</w:t>
      </w:r>
    </w:p>
    <w:p w:rsidR="003B6A87" w:rsidRDefault="00EC3C61">
      <w:pPr>
        <w:spacing w:after="240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RADA GMINY JAROCIN</w:t>
      </w:r>
    </w:p>
    <w:p w:rsidR="003B6A87" w:rsidRDefault="00EC3C61">
      <w:pPr>
        <w:spacing w:after="240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uchwala, co następuje:</w:t>
      </w:r>
    </w:p>
    <w:p w:rsidR="003B6A87" w:rsidRDefault="00EC3C61">
      <w:pPr>
        <w:spacing w:after="0"/>
      </w:pPr>
      <w:r>
        <w:rPr>
          <w:rFonts w:eastAsia="Times New Roman" w:cs="Calibri"/>
          <w:b/>
          <w:kern w:val="0"/>
          <w:lang w:eastAsia="pl-PL"/>
        </w:rPr>
        <w:t>§ 1</w:t>
      </w:r>
      <w:r>
        <w:rPr>
          <w:rFonts w:eastAsia="Times New Roman" w:cs="Calibri"/>
          <w:kern w:val="0"/>
          <w:lang w:eastAsia="pl-PL"/>
        </w:rPr>
        <w:t>. Określa</w:t>
      </w:r>
      <w:r>
        <w:rPr>
          <w:rFonts w:eastAsia="Times New Roman" w:cs="Calibri"/>
          <w:kern w:val="0"/>
          <w:lang w:eastAsia="pl-PL"/>
        </w:rPr>
        <w:t xml:space="preserve"> się następujące stawki podatku od nieruchomości obowiązujące na terenie Gminy Jarocin: </w:t>
      </w:r>
    </w:p>
    <w:p w:rsidR="003B6A87" w:rsidRDefault="00EC3C61">
      <w:pPr>
        <w:spacing w:after="0"/>
        <w:ind w:left="360"/>
      </w:pPr>
      <w:r>
        <w:rPr>
          <w:rFonts w:eastAsia="Times New Roman" w:cs="Calibri"/>
          <w:bCs/>
          <w:kern w:val="0"/>
          <w:lang w:eastAsia="pl-PL"/>
        </w:rPr>
        <w:t>1)</w:t>
      </w:r>
      <w:r>
        <w:rPr>
          <w:rFonts w:eastAsia="Times New Roman" w:cs="Calibri"/>
          <w:b/>
          <w:bCs/>
          <w:kern w:val="0"/>
          <w:lang w:eastAsia="pl-PL"/>
        </w:rPr>
        <w:t xml:space="preserve"> od gruntów:</w:t>
      </w:r>
    </w:p>
    <w:p w:rsidR="003B6A87" w:rsidRDefault="00EC3C61">
      <w:pPr>
        <w:numPr>
          <w:ilvl w:val="3"/>
          <w:numId w:val="1"/>
        </w:numPr>
        <w:tabs>
          <w:tab w:val="left" w:pos="720"/>
        </w:tabs>
        <w:spacing w:after="0"/>
        <w:ind w:left="720"/>
      </w:pPr>
      <w:r>
        <w:rPr>
          <w:rFonts w:eastAsia="Times New Roman" w:cs="Calibri"/>
          <w:kern w:val="0"/>
          <w:lang w:eastAsia="pl-PL"/>
        </w:rPr>
        <w:t xml:space="preserve">związanych z prowadzeniem działalności gospodarczej, bez względu na sposób zakwalifikowania w ewidencji gruntów i budynków - </w:t>
      </w:r>
      <w:r>
        <w:rPr>
          <w:rFonts w:eastAsia="Times New Roman" w:cs="Calibri"/>
          <w:b/>
          <w:bCs/>
          <w:kern w:val="0"/>
          <w:lang w:eastAsia="pl-PL"/>
        </w:rPr>
        <w:t>0.44</w:t>
      </w:r>
      <w:r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 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powierzchni,</w:t>
      </w:r>
    </w:p>
    <w:p w:rsidR="003B6A87" w:rsidRDefault="00EC3C61">
      <w:pPr>
        <w:numPr>
          <w:ilvl w:val="3"/>
          <w:numId w:val="1"/>
        </w:numPr>
        <w:tabs>
          <w:tab w:val="left" w:pos="720"/>
        </w:tabs>
        <w:spacing w:after="0"/>
        <w:ind w:left="720"/>
        <w:jc w:val="both"/>
      </w:pPr>
      <w:r>
        <w:rPr>
          <w:rFonts w:eastAsia="Times New Roman" w:cs="Calibri"/>
          <w:kern w:val="0"/>
          <w:lang w:eastAsia="pl-PL"/>
        </w:rPr>
        <w:t xml:space="preserve">pod wodami powierzchniowymi stojącymi lub wodami powierzchniowymi płynącymi jezior i zbiorników sztucznych </w:t>
      </w:r>
      <w:r>
        <w:rPr>
          <w:rFonts w:eastAsia="Times New Roman" w:cs="Calibri"/>
          <w:b/>
          <w:kern w:val="0"/>
          <w:lang w:eastAsia="pl-PL"/>
        </w:rPr>
        <w:t>- 3,00 zł</w:t>
      </w:r>
      <w:r>
        <w:rPr>
          <w:rFonts w:eastAsia="Times New Roman" w:cs="Calibri"/>
          <w:kern w:val="0"/>
          <w:lang w:eastAsia="pl-PL"/>
        </w:rPr>
        <w:t xml:space="preserve"> od 1 ha powierzchni,</w:t>
      </w:r>
    </w:p>
    <w:p w:rsidR="003B6A87" w:rsidRDefault="00EC3C61">
      <w:pPr>
        <w:numPr>
          <w:ilvl w:val="3"/>
          <w:numId w:val="1"/>
        </w:numPr>
        <w:tabs>
          <w:tab w:val="left" w:pos="720"/>
        </w:tabs>
        <w:spacing w:after="0"/>
        <w:ind w:left="720"/>
        <w:jc w:val="both"/>
      </w:pPr>
      <w:r>
        <w:rPr>
          <w:rFonts w:eastAsia="Times New Roman" w:cs="Calibri"/>
          <w:kern w:val="0"/>
          <w:lang w:eastAsia="pl-PL"/>
        </w:rPr>
        <w:t xml:space="preserve">pozostałych, w tym zajętych na prowadzenie odpłatnej statutowej działalności pożytku publicznego przez </w:t>
      </w:r>
      <w:r>
        <w:rPr>
          <w:rFonts w:eastAsia="Times New Roman" w:cs="Calibri"/>
          <w:kern w:val="0"/>
          <w:lang w:eastAsia="pl-PL"/>
        </w:rPr>
        <w:t xml:space="preserve">organizacje pożytku publicznego – </w:t>
      </w:r>
      <w:r>
        <w:rPr>
          <w:rFonts w:eastAsia="Times New Roman" w:cs="Calibri"/>
          <w:b/>
          <w:bCs/>
          <w:kern w:val="0"/>
          <w:lang w:eastAsia="pl-PL"/>
        </w:rPr>
        <w:t>0.09</w:t>
      </w:r>
      <w:r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powierzchni, </w:t>
      </w:r>
    </w:p>
    <w:p w:rsidR="003B6A87" w:rsidRDefault="00EC3C61">
      <w:pPr>
        <w:numPr>
          <w:ilvl w:val="3"/>
          <w:numId w:val="1"/>
        </w:numPr>
        <w:tabs>
          <w:tab w:val="left" w:pos="720"/>
        </w:tabs>
        <w:spacing w:after="0"/>
        <w:ind w:left="720"/>
      </w:pPr>
      <w:r>
        <w:rPr>
          <w:rFonts w:eastAsia="Times New Roman" w:cs="Calibri"/>
          <w:kern w:val="0"/>
          <w:lang w:eastAsia="pl-PL"/>
        </w:rPr>
        <w:t>niezabudowanych objętych obszarem rewitalizacji, o którym mowa w ustawie z dnia 09 października 2015r. o rewitalizacji (Dz.U. z 2024r.poz.278) i położonych na terenach, dla których miejscowy pl</w:t>
      </w:r>
      <w:r>
        <w:rPr>
          <w:rFonts w:eastAsia="Times New Roman" w:cs="Calibri"/>
          <w:kern w:val="0"/>
          <w:lang w:eastAsia="pl-PL"/>
        </w:rPr>
        <w:t>an zagospodarowania przestrzennego przewiduje przeznaczenie pod zabudowę mieszkaniową, usługową albo zabudowę o przeznaczeniu mieszanym obejmującym wyłącznie te rodzaje zabudowy, jeżeli od dnia wejścia w życie tego planu w odniesieniu do tych gruntów upłyn</w:t>
      </w:r>
      <w:r>
        <w:rPr>
          <w:rFonts w:eastAsia="Times New Roman" w:cs="Calibri"/>
          <w:kern w:val="0"/>
          <w:lang w:eastAsia="pl-PL"/>
        </w:rPr>
        <w:t xml:space="preserve">ął okres 4 lat, a w tym czasie nie zakończono budowy zgodnie z przepisami prawa budowlanego - </w:t>
      </w:r>
      <w:r>
        <w:rPr>
          <w:rFonts w:eastAsia="Times New Roman" w:cs="Calibri"/>
          <w:b/>
          <w:kern w:val="0"/>
          <w:lang w:eastAsia="pl-PL"/>
        </w:rPr>
        <w:t>0.05 zł</w:t>
      </w:r>
      <w:r>
        <w:rPr>
          <w:rFonts w:eastAsia="Times New Roman" w:cs="Calibri"/>
          <w:kern w:val="0"/>
          <w:lang w:eastAsia="pl-PL"/>
        </w:rPr>
        <w:t xml:space="preserve"> od 1 m² powierzchni, </w:t>
      </w:r>
    </w:p>
    <w:p w:rsidR="003B6A87" w:rsidRDefault="00EC3C61">
      <w:pPr>
        <w:numPr>
          <w:ilvl w:val="0"/>
          <w:numId w:val="2"/>
        </w:numPr>
        <w:spacing w:after="0"/>
      </w:pPr>
      <w:r>
        <w:rPr>
          <w:rFonts w:eastAsia="Times New Roman" w:cs="Calibri"/>
          <w:b/>
          <w:bCs/>
          <w:kern w:val="0"/>
          <w:lang w:eastAsia="pl-PL"/>
        </w:rPr>
        <w:t>od budynków lub ich części:</w:t>
      </w:r>
    </w:p>
    <w:p w:rsidR="003B6A87" w:rsidRDefault="00EC3C61">
      <w:pPr>
        <w:numPr>
          <w:ilvl w:val="0"/>
          <w:numId w:val="3"/>
        </w:numPr>
        <w:spacing w:after="0"/>
      </w:pPr>
      <w:r>
        <w:rPr>
          <w:rFonts w:eastAsia="Times New Roman" w:cs="Calibri"/>
          <w:kern w:val="0"/>
          <w:lang w:eastAsia="pl-PL"/>
        </w:rPr>
        <w:t xml:space="preserve">mieszkalnych - </w:t>
      </w:r>
      <w:r>
        <w:rPr>
          <w:rFonts w:eastAsia="Times New Roman" w:cs="Calibri"/>
          <w:b/>
          <w:bCs/>
          <w:kern w:val="0"/>
          <w:lang w:eastAsia="pl-PL"/>
        </w:rPr>
        <w:t xml:space="preserve">0.35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 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powierzchni użytkowej,</w:t>
      </w:r>
    </w:p>
    <w:p w:rsidR="003B6A87" w:rsidRDefault="00EC3C61">
      <w:pPr>
        <w:numPr>
          <w:ilvl w:val="0"/>
          <w:numId w:val="3"/>
        </w:numPr>
        <w:spacing w:after="0"/>
      </w:pPr>
      <w:r>
        <w:rPr>
          <w:rFonts w:eastAsia="Times New Roman" w:cs="Calibri"/>
          <w:kern w:val="0"/>
          <w:lang w:eastAsia="pl-PL"/>
        </w:rPr>
        <w:t>związanych z prowadzeniem działalności gospodarcze</w:t>
      </w:r>
      <w:r>
        <w:rPr>
          <w:rFonts w:eastAsia="Times New Roman" w:cs="Calibri"/>
          <w:kern w:val="0"/>
          <w:lang w:eastAsia="pl-PL"/>
        </w:rPr>
        <w:t>j oraz od budynków mieszkalnych lub ich części zajętych na prowadzenie działalności gospodarczej –</w:t>
      </w:r>
      <w:r>
        <w:rPr>
          <w:rFonts w:eastAsia="Times New Roman" w:cs="Calibri"/>
          <w:b/>
          <w:kern w:val="0"/>
          <w:lang w:eastAsia="pl-PL"/>
        </w:rPr>
        <w:t xml:space="preserve"> 9,90</w:t>
      </w:r>
      <w:r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powierzchni użytkowej, </w:t>
      </w:r>
    </w:p>
    <w:p w:rsidR="003B6A87" w:rsidRDefault="00EC3C61">
      <w:pPr>
        <w:numPr>
          <w:ilvl w:val="0"/>
          <w:numId w:val="3"/>
        </w:numPr>
        <w:spacing w:after="0"/>
      </w:pPr>
      <w:r>
        <w:rPr>
          <w:rFonts w:eastAsia="Times New Roman" w:cs="Calibri"/>
          <w:kern w:val="0"/>
          <w:lang w:eastAsia="pl-PL"/>
        </w:rPr>
        <w:t xml:space="preserve">zajętych na prowadzenie działalności gospodarczej w zakresie obrotu kwalifikowanym materiałem siewnym – </w:t>
      </w:r>
      <w:r>
        <w:rPr>
          <w:rFonts w:eastAsia="Times New Roman" w:cs="Calibri"/>
          <w:b/>
          <w:bCs/>
          <w:kern w:val="0"/>
          <w:lang w:eastAsia="pl-PL"/>
        </w:rPr>
        <w:t>3,00</w:t>
      </w:r>
      <w:r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powierzchni użytkowej, </w:t>
      </w:r>
    </w:p>
    <w:p w:rsidR="003B6A87" w:rsidRDefault="00EC3C61">
      <w:pPr>
        <w:numPr>
          <w:ilvl w:val="0"/>
          <w:numId w:val="3"/>
        </w:numPr>
        <w:spacing w:after="0"/>
      </w:pPr>
      <w:r>
        <w:rPr>
          <w:rFonts w:eastAsia="Times New Roman" w:cs="Calibri"/>
          <w:kern w:val="0"/>
          <w:lang w:eastAsia="pl-PL"/>
        </w:rPr>
        <w:lastRenderedPageBreak/>
        <w:t xml:space="preserve">związanych z udzielaniem świadczeń zdrowotnych w rozumieniu przepisów o działalności leczniczej, zajętych przez podmioty udzielające tych świadczeń - </w:t>
      </w:r>
      <w:r>
        <w:rPr>
          <w:rFonts w:eastAsia="Times New Roman" w:cs="Calibri"/>
          <w:b/>
          <w:bCs/>
          <w:kern w:val="0"/>
          <w:lang w:eastAsia="pl-PL"/>
        </w:rPr>
        <w:t xml:space="preserve">4.00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powierzchni użytkowej,</w:t>
      </w:r>
    </w:p>
    <w:p w:rsidR="003B6A87" w:rsidRDefault="00EC3C61">
      <w:pPr>
        <w:numPr>
          <w:ilvl w:val="0"/>
          <w:numId w:val="3"/>
        </w:numPr>
        <w:spacing w:after="0"/>
      </w:pPr>
      <w:r>
        <w:rPr>
          <w:rFonts w:eastAsia="Times New Roman" w:cs="Calibri"/>
          <w:kern w:val="0"/>
          <w:lang w:eastAsia="pl-PL"/>
        </w:rPr>
        <w:t xml:space="preserve">pozostałych, w tym zajętych na prowadzenie </w:t>
      </w:r>
      <w:r>
        <w:rPr>
          <w:rFonts w:eastAsia="Times New Roman" w:cs="Calibri"/>
          <w:kern w:val="0"/>
          <w:lang w:eastAsia="pl-PL"/>
        </w:rPr>
        <w:t xml:space="preserve">odpłatnej statutowej działalności pożytku publicznego przez organizację pożytku publicznego - </w:t>
      </w:r>
      <w:r>
        <w:rPr>
          <w:rFonts w:eastAsia="Times New Roman" w:cs="Calibri"/>
          <w:b/>
          <w:kern w:val="0"/>
          <w:lang w:eastAsia="pl-PL"/>
        </w:rPr>
        <w:t>2</w:t>
      </w:r>
      <w:r>
        <w:rPr>
          <w:rFonts w:eastAsia="Times New Roman" w:cs="Calibri"/>
          <w:b/>
          <w:bCs/>
          <w:kern w:val="0"/>
          <w:lang w:eastAsia="pl-PL"/>
        </w:rPr>
        <w:t xml:space="preserve">.60 </w:t>
      </w:r>
      <w:r>
        <w:rPr>
          <w:rFonts w:eastAsia="Times New Roman" w:cs="Calibri"/>
          <w:b/>
          <w:kern w:val="0"/>
          <w:lang w:eastAsia="pl-PL"/>
        </w:rPr>
        <w:t>zł</w:t>
      </w:r>
      <w:r>
        <w:rPr>
          <w:rFonts w:eastAsia="Times New Roman" w:cs="Calibri"/>
          <w:kern w:val="0"/>
          <w:lang w:eastAsia="pl-PL"/>
        </w:rPr>
        <w:t xml:space="preserve"> od 1m</w:t>
      </w:r>
      <w:r>
        <w:rPr>
          <w:rFonts w:eastAsia="Times New Roman" w:cs="Calibri"/>
          <w:kern w:val="0"/>
          <w:vertAlign w:val="superscript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powierzchni użytkowej,</w:t>
      </w:r>
    </w:p>
    <w:p w:rsidR="003B6A87" w:rsidRDefault="00EC3C61">
      <w:pPr>
        <w:numPr>
          <w:ilvl w:val="0"/>
          <w:numId w:val="2"/>
        </w:numPr>
        <w:spacing w:after="0"/>
      </w:pPr>
      <w:r>
        <w:rPr>
          <w:rFonts w:eastAsia="Times New Roman" w:cs="Calibri"/>
          <w:b/>
          <w:bCs/>
          <w:kern w:val="0"/>
          <w:lang w:eastAsia="pl-PL"/>
        </w:rPr>
        <w:t xml:space="preserve">od budowli - 2 % </w:t>
      </w:r>
      <w:r>
        <w:rPr>
          <w:rFonts w:eastAsia="Times New Roman" w:cs="Calibri"/>
          <w:kern w:val="0"/>
          <w:lang w:eastAsia="pl-PL"/>
        </w:rPr>
        <w:t>ich wartości określonej na podstawie art.4 ust.1 pkt.3 i ust.3-7 ustawy o podatkach i opłatach lokalnych.</w:t>
      </w:r>
    </w:p>
    <w:p w:rsidR="003B6A87" w:rsidRDefault="00EC3C61">
      <w:pPr>
        <w:spacing w:after="0"/>
      </w:pPr>
      <w:r>
        <w:rPr>
          <w:rFonts w:eastAsia="Times New Roman" w:cs="Calibri"/>
          <w:b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2. </w:t>
      </w:r>
      <w:r>
        <w:rPr>
          <w:rFonts w:eastAsia="Times New Roman" w:cs="Calibri"/>
          <w:kern w:val="0"/>
          <w:lang w:eastAsia="pl-PL"/>
        </w:rPr>
        <w:t xml:space="preserve">Zwalnia się z podatku od nieruchomości budowle służące do zbiorowego zaopatrzenia </w:t>
      </w:r>
      <w:r>
        <w:rPr>
          <w:rFonts w:eastAsia="Times New Roman" w:cs="Calibri"/>
          <w:kern w:val="0"/>
          <w:lang w:eastAsia="pl-PL"/>
        </w:rPr>
        <w:br/>
      </w:r>
      <w:r>
        <w:rPr>
          <w:rFonts w:eastAsia="Times New Roman" w:cs="Calibri"/>
          <w:kern w:val="0"/>
          <w:lang w:eastAsia="pl-PL"/>
        </w:rPr>
        <w:t>w wodę, oczyszczania i odprowadzania ścieków.</w:t>
      </w:r>
    </w:p>
    <w:p w:rsidR="003B6A87" w:rsidRDefault="00EC3C61">
      <w:pPr>
        <w:spacing w:after="0"/>
      </w:pPr>
      <w:r>
        <w:rPr>
          <w:rFonts w:eastAsia="Times New Roman" w:cs="Calibri"/>
          <w:b/>
          <w:bCs/>
          <w:kern w:val="0"/>
          <w:lang w:eastAsia="pl-PL"/>
        </w:rPr>
        <w:t xml:space="preserve">§ 3. </w:t>
      </w:r>
      <w:r>
        <w:rPr>
          <w:rFonts w:eastAsia="Times New Roman" w:cs="Calibri"/>
          <w:kern w:val="0"/>
          <w:lang w:eastAsia="pl-PL"/>
        </w:rPr>
        <w:t>Wykonanie uchwały powierza się Wójtowi Gminy w Jarocinie.</w:t>
      </w:r>
    </w:p>
    <w:p w:rsidR="003B6A87" w:rsidRDefault="00EC3C61">
      <w:pPr>
        <w:spacing w:after="0"/>
      </w:pPr>
      <w:r>
        <w:rPr>
          <w:rFonts w:eastAsia="Times New Roman" w:cs="Calibri"/>
          <w:b/>
          <w:bCs/>
          <w:kern w:val="0"/>
          <w:lang w:eastAsia="pl-PL"/>
        </w:rPr>
        <w:t xml:space="preserve">§ 4. </w:t>
      </w:r>
      <w:r>
        <w:rPr>
          <w:rFonts w:eastAsia="Times New Roman" w:cs="Calibri"/>
          <w:bCs/>
          <w:kern w:val="0"/>
          <w:lang w:eastAsia="pl-PL"/>
        </w:rPr>
        <w:t>Traci moc uchwała Rady Gminy Jarocin Nr V.39.2024 z dni</w:t>
      </w:r>
      <w:r>
        <w:rPr>
          <w:rFonts w:eastAsia="Times New Roman" w:cs="Calibri"/>
          <w:bCs/>
          <w:kern w:val="0"/>
          <w:lang w:eastAsia="pl-PL"/>
        </w:rPr>
        <w:t>a 29 listopada 2024 r.</w:t>
      </w:r>
      <w:r>
        <w:rPr>
          <w:rFonts w:eastAsia="Times New Roman" w:cs="Calibri"/>
          <w:bCs/>
          <w:iCs/>
          <w:kern w:val="0"/>
          <w:lang w:eastAsia="pl-PL"/>
        </w:rPr>
        <w:t xml:space="preserve"> </w:t>
      </w:r>
      <w:r>
        <w:rPr>
          <w:rFonts w:eastAsia="Times New Roman" w:cs="Calibri"/>
          <w:bCs/>
          <w:iCs/>
          <w:kern w:val="0"/>
          <w:lang w:eastAsia="pl-PL"/>
        </w:rPr>
        <w:br/>
      </w:r>
      <w:r>
        <w:rPr>
          <w:rFonts w:eastAsia="Times New Roman" w:cs="Calibri"/>
          <w:bCs/>
          <w:iCs/>
          <w:kern w:val="0"/>
          <w:lang w:eastAsia="pl-PL"/>
        </w:rPr>
        <w:t xml:space="preserve">w sprawie określenia wysokości stawek podatku od nieruchomości na 2025 rok (Dz. Urz. Woj. Podkarpackiego z 2024r. poz. 5308). </w:t>
      </w:r>
    </w:p>
    <w:p w:rsidR="003B6A87" w:rsidRDefault="00EC3C61">
      <w:pPr>
        <w:spacing w:after="720"/>
      </w:pPr>
      <w:r>
        <w:rPr>
          <w:rFonts w:eastAsia="Times New Roman" w:cs="Calibri"/>
          <w:b/>
          <w:bCs/>
          <w:kern w:val="0"/>
          <w:lang w:eastAsia="pl-PL"/>
        </w:rPr>
        <w:t xml:space="preserve">§ 5. </w:t>
      </w:r>
      <w:r>
        <w:rPr>
          <w:rFonts w:eastAsia="Times New Roman" w:cs="Calibri"/>
          <w:bCs/>
          <w:kern w:val="0"/>
          <w:lang w:eastAsia="pl-PL"/>
        </w:rPr>
        <w:t xml:space="preserve">Uchwała podlega ogłoszeniu w Dzienniku Urzędowym Województwa Podkarpackiego i wchodzi w życie z </w:t>
      </w:r>
      <w:r>
        <w:rPr>
          <w:rFonts w:eastAsia="Times New Roman" w:cs="Calibri"/>
          <w:bCs/>
          <w:kern w:val="0"/>
          <w:lang w:eastAsia="pl-PL"/>
        </w:rPr>
        <w:t xml:space="preserve">dniem 1 stycznia 2026 r. </w:t>
      </w:r>
    </w:p>
    <w:p w:rsidR="003B6A87" w:rsidRDefault="00EC3C61">
      <w:pPr>
        <w:spacing w:after="720"/>
        <w:jc w:val="right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Przewodnicząca Rady Gminy</w:t>
      </w:r>
    </w:p>
    <w:p w:rsidR="003B6A87" w:rsidRDefault="00EC3C61">
      <w:pPr>
        <w:spacing w:after="720"/>
        <w:jc w:val="right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Jolanta Wołoszyn</w:t>
      </w:r>
    </w:p>
    <w:p w:rsidR="003B6A87" w:rsidRDefault="003B6A87">
      <w:pPr>
        <w:spacing w:after="240"/>
        <w:jc w:val="right"/>
        <w:rPr>
          <w:rFonts w:eastAsia="Times New Roman" w:cs="Calibri"/>
          <w:bCs/>
          <w:kern w:val="0"/>
          <w:lang w:eastAsia="pl-PL"/>
        </w:rPr>
      </w:pPr>
    </w:p>
    <w:p w:rsidR="003B6A87" w:rsidRDefault="003B6A87">
      <w:pPr>
        <w:keepNext/>
        <w:pageBreakBefore/>
        <w:spacing w:before="240" w:after="60" w:line="240" w:lineRule="auto"/>
        <w:outlineLvl w:val="1"/>
      </w:pPr>
    </w:p>
    <w:p w:rsidR="003B6A87" w:rsidRDefault="00EC3C61">
      <w:pPr>
        <w:rPr>
          <w:b/>
          <w:bCs/>
        </w:rPr>
      </w:pPr>
      <w:r>
        <w:rPr>
          <w:b/>
          <w:bCs/>
        </w:rPr>
        <w:t>Uzasadnienie</w:t>
      </w:r>
    </w:p>
    <w:p w:rsidR="003B6A87" w:rsidRDefault="00EC3C61">
      <w:r>
        <w:t xml:space="preserve">Podatki i opłaty lokalne stanowią dochody własne gminy. Podstawowym ich źródłem jest podatek od nieruchomości. Do określenia wysokości stawek podatku od nieruchomości jest </w:t>
      </w:r>
      <w:r>
        <w:t>uprawniona Rada Gminy (art.5 ust.1 ustawy o podatkach i opłatach lokalnych).</w:t>
      </w:r>
    </w:p>
    <w:p w:rsidR="003B6A87" w:rsidRDefault="00EC3C61">
      <w:r>
        <w:t>W myśl art.20 ust.1 ustawy o podatkach i opłatach lokalnych górne granice stawek kwotowych obowiązujące w danym roku podatkowym ulegają corocznie zmianie na następny rok podatkowy</w:t>
      </w:r>
      <w:r>
        <w:t xml:space="preserve"> w stopniu odpowiadającym wskaźnikowi cen towarów i usług konsumpcyjnych w okresie pierwszego półrocza roku, w którym stawki ulegają zmianie, w stosunku do analogicznego okresu poprzedniego. </w:t>
      </w:r>
    </w:p>
    <w:p w:rsidR="003B6A87" w:rsidRDefault="00EC3C61">
      <w:r>
        <w:t>Wskaźnik cen towarów i usług konsumpcyjnych w I półroczu 2025 r.</w:t>
      </w:r>
      <w:r>
        <w:t xml:space="preserve"> w stosunku do analogicznego okresu roku poprzedniego wynosił 104,5 % (wzrost o 4,5 %). </w:t>
      </w:r>
    </w:p>
    <w:p w:rsidR="003B6A87" w:rsidRDefault="00EC3C61">
      <w:r>
        <w:t>Kreując gminną politykę podatkową, mając na uwadze potrzeby mieszkańców, zachowanie ich stabilności finansowej, wsparcie rozwoju lokalnej przedsiębiorczości i przyciąg</w:t>
      </w:r>
      <w:r>
        <w:t>nięcie nowych inwestorów proponuje się, aby stawki podatku od nieruchomości na rok 2026 pozostały na poziomie obowiązującym w roku 2025.</w:t>
      </w:r>
    </w:p>
    <w:p w:rsidR="003B6A87" w:rsidRDefault="00EC3C61">
      <w:r>
        <w:t>Proponowane stawki podatku od nieruchomości na 2026 r. w zestawieniu z ustawowymi górnymi granicami stawek podatków prz</w:t>
      </w:r>
      <w:r>
        <w:t>edstawiają  się następująco:</w:t>
      </w:r>
    </w:p>
    <w:p w:rsidR="003B6A87" w:rsidRDefault="00EC3C61">
      <w:r>
        <w:t>1) od budynków mieszkalnych lub ich części – 0,35 zł za 1m</w:t>
      </w:r>
      <w:r>
        <w:rPr>
          <w:vertAlign w:val="superscript"/>
        </w:rPr>
        <w:t xml:space="preserve">2 </w:t>
      </w:r>
      <w:r>
        <w:t>pow. użytkowej – stawka ustawowa 1,25 zł za 1m² pow. użytkowej,</w:t>
      </w:r>
    </w:p>
    <w:p w:rsidR="003B6A87" w:rsidRDefault="00EC3C61">
      <w:r>
        <w:t xml:space="preserve">2) od budynków lub ich części związanych z prowadzoną działalnością gospodarczą  - 9,90 zł za 1m² pow. </w:t>
      </w:r>
      <w:r>
        <w:t>użytkowej – ustawowa stawka 35,53 zł za 1m² pow. użytkowej,</w:t>
      </w:r>
    </w:p>
    <w:p w:rsidR="003B6A87" w:rsidRDefault="00EC3C61">
      <w:r>
        <w:t xml:space="preserve">3) od budynków lub ich części związanych z działalnością gospodarczą w zakresie obrotu kwalifikowanym materiałem siewnym - 3,00 zł za 1 m ² pow. użytkowej - stawka ustawowa 16,64 zł za 1 m ² pow. </w:t>
      </w:r>
      <w:r>
        <w:t>użytkowej,</w:t>
      </w:r>
    </w:p>
    <w:p w:rsidR="003B6A87" w:rsidRDefault="00EC3C61">
      <w:r>
        <w:t>4) od budynków lub ich części związanych z prowadzona działalnością gospodarczą w zakresie udzielania świadczeń zdrowotnych – 4,00 zł za 1 m² pow. użytkowej- stawka ustawowa 7,27 zł za 1 m² pow. użytkowej,</w:t>
      </w:r>
    </w:p>
    <w:p w:rsidR="003B6A87" w:rsidRDefault="00EC3C61">
      <w:r>
        <w:t>5) od budynków pozostałych lub ich częś</w:t>
      </w:r>
      <w:r>
        <w:t xml:space="preserve">ci - 2,60 zł za 1 m² pow. użytkowej– stawka ustawowa 12,00 zł za 1 m² pow. użytkowej,  </w:t>
      </w:r>
    </w:p>
    <w:p w:rsidR="003B6A87" w:rsidRDefault="00EC3C61">
      <w:r>
        <w:t>6) od gruntów związanych z działalnością gospodarcza - 0,44 zł za 1 m² pow. - stawka ustawowa 1,45 zł za 1 m² pow.,</w:t>
      </w:r>
    </w:p>
    <w:p w:rsidR="003B6A87" w:rsidRDefault="00EC3C61">
      <w:r>
        <w:t>7) od gruntów pozostałych - 0,09 zł od 1m² pow. – st</w:t>
      </w:r>
      <w:r>
        <w:t>awka ustawowa 0,77 zł od 1m² pow.,</w:t>
      </w:r>
    </w:p>
    <w:p w:rsidR="003B6A87" w:rsidRDefault="00EC3C61">
      <w:r>
        <w:t>8) od gruntów niezbudowanych objętych obszarem rewitalizacji – 0,05 zł za 1m² pow. – stawka ustawowa 4,72 zł od 1m² pow.,</w:t>
      </w:r>
    </w:p>
    <w:p w:rsidR="003B6A87" w:rsidRDefault="00EC3C61">
      <w:r>
        <w:lastRenderedPageBreak/>
        <w:t xml:space="preserve">9) od gruntów pod wodami powierzchniowymi stojącymi lub wodami powierzchniowymi płynącymi jezior i </w:t>
      </w:r>
      <w:r>
        <w:t>zbiorników sztucznych – 3,00 zł od 1 ha pow. – stawka ustawowa 7,15 zł od 1 ha pow.,</w:t>
      </w:r>
    </w:p>
    <w:p w:rsidR="003B6A87" w:rsidRDefault="00EC3C61">
      <w:r>
        <w:t>10) od  budowli  2%  ich wartości – stawka ustawowa – 2%</w:t>
      </w:r>
    </w:p>
    <w:p w:rsidR="003B6A87" w:rsidRDefault="00EC3C61">
      <w:r>
        <w:t>Przy zastosowaniu tych stawek planowane wpływy z tytułu podatku od nieruchomości wyniosą 663 000,00 zł w tym:</w:t>
      </w:r>
    </w:p>
    <w:p w:rsidR="003B6A87" w:rsidRDefault="00EC3C61">
      <w:r>
        <w:t>a) o</w:t>
      </w:r>
      <w:r>
        <w:t>soby prawne: 390 000,00 zł</w:t>
      </w:r>
    </w:p>
    <w:p w:rsidR="003B6A87" w:rsidRDefault="00EC3C61">
      <w:r>
        <w:t xml:space="preserve">b) osoby fizyczne: 273 000,00 zł </w:t>
      </w:r>
    </w:p>
    <w:p w:rsidR="003B6A87" w:rsidRDefault="00EC3C61">
      <w:r>
        <w:t>Biorąc powyższe pod uwagę, uznaje się za zasadne podjęcie przedmiotowej uchwały.</w:t>
      </w:r>
    </w:p>
    <w:p w:rsidR="003B6A87" w:rsidRDefault="003B6A87"/>
    <w:sectPr w:rsidR="003B6A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3C61">
      <w:pPr>
        <w:spacing w:after="0" w:line="240" w:lineRule="auto"/>
      </w:pPr>
      <w:r>
        <w:separator/>
      </w:r>
    </w:p>
  </w:endnote>
  <w:endnote w:type="continuationSeparator" w:id="0">
    <w:p w:rsidR="00000000" w:rsidRDefault="00E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3C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C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18AA"/>
    <w:multiLevelType w:val="multilevel"/>
    <w:tmpl w:val="F154ED4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b w:val="0"/>
      </w:rPr>
    </w:lvl>
    <w:lvl w:ilvl="5">
      <w:start w:val="3"/>
      <w:numFmt w:val="decimal"/>
      <w:lvlText w:val="%6."/>
      <w:lvlJc w:val="left"/>
      <w:pPr>
        <w:ind w:left="4500" w:hanging="360"/>
      </w:pPr>
      <w:rPr>
        <w:b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AF9"/>
    <w:multiLevelType w:val="multilevel"/>
    <w:tmpl w:val="AFE0C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610BB"/>
    <w:multiLevelType w:val="multilevel"/>
    <w:tmpl w:val="FCE6A254"/>
    <w:lvl w:ilvl="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B6A87"/>
    <w:rsid w:val="003B6A87"/>
    <w:rsid w:val="00EC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F593-4D0C-4918-A13C-21612B7E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dc:description/>
  <cp:lastModifiedBy>KStaszowska</cp:lastModifiedBy>
  <cp:revision>2</cp:revision>
  <cp:lastPrinted>2025-11-18T12:51:00Z</cp:lastPrinted>
  <dcterms:created xsi:type="dcterms:W3CDTF">2025-11-18T13:16:00Z</dcterms:created>
  <dcterms:modified xsi:type="dcterms:W3CDTF">2025-11-18T13:16:00Z</dcterms:modified>
</cp:coreProperties>
</file>